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D1A" w:rsidRPr="00B67D1A" w:rsidRDefault="00B67D1A" w:rsidP="00B67D1A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B67D1A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Совет муниципального образования «Черноярский район»</w:t>
      </w:r>
    </w:p>
    <w:p w:rsidR="00B67D1A" w:rsidRPr="00B67D1A" w:rsidRDefault="00B67D1A" w:rsidP="00B67D1A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B67D1A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Астраханской области</w:t>
      </w:r>
    </w:p>
    <w:p w:rsidR="00B67D1A" w:rsidRPr="00B67D1A" w:rsidRDefault="00B67D1A" w:rsidP="00B67D1A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B67D1A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РЕШЕНИЕ</w:t>
      </w:r>
    </w:p>
    <w:p w:rsidR="00B67D1A" w:rsidRPr="00B67D1A" w:rsidRDefault="00B67D1A" w:rsidP="00B67D1A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B67D1A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09.02.2007 № 9</w:t>
      </w:r>
    </w:p>
    <w:p w:rsidR="00B67D1A" w:rsidRPr="00B67D1A" w:rsidRDefault="00B67D1A" w:rsidP="00B67D1A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B67D1A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Об утверждении методики определения величины годовой арендной платы за пользование объектами недвижимости, находящимися в муниципальной собственности МО «Черноярский район»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Изменения и дополнения: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 xml:space="preserve">Решение Совета муниципального образования «Черноярский район» </w:t>
      </w:r>
      <w:hyperlink r:id="rId4" w:tgtFrame="_self" w:tooltip="Новый документ" w:history="1">
        <w:r w:rsidRPr="00B67D1A">
          <w:rPr>
            <w:rFonts w:ascii="Arial" w:eastAsia="Times New Roman" w:hAnsi="Arial" w:cs="Times New Roman"/>
            <w:color w:val="0000FF"/>
            <w:sz w:val="24"/>
            <w:szCs w:val="24"/>
            <w:lang w:eastAsia="ru-RU"/>
          </w:rPr>
          <w:t>от 09.02.2010 № 3</w:t>
        </w:r>
      </w:hyperlink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С целью повышения эффективности использования муниципального имущества и пополнения доходной части районного бюджета, руководствуясь ст. 24 Устава МО «Черноярский район», Совет МО «Черноярский район»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РЕШИЛ: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1. Утвердить прилагаемую методику определения величины годовой арендной платы за пользование объектами недвижимости, находящимися в муниципальной собственности МО «Черноярский район».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2. Настоящее решение вступает в силу с 1 января 2007 года.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Глава муниципального образования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«Черноярский район»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А.В. Колесов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УТВЕРЖДЕНО</w:t>
      </w: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решением Совета</w:t>
      </w: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МО «Черноярский район»</w:t>
      </w: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от 09.02.2007 №9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</w:pPr>
      <w:r w:rsidRPr="00B67D1A">
        <w:rPr>
          <w:rFonts w:ascii="Arial" w:eastAsia="Times New Roman" w:hAnsi="Arial" w:cs="Arial"/>
          <w:b/>
          <w:bCs/>
          <w:iCs/>
          <w:sz w:val="30"/>
          <w:szCs w:val="28"/>
          <w:lang w:eastAsia="ru-RU"/>
        </w:rPr>
        <w:t>Методика определения величины годовой арендной платы за пользование объектами недвижимости, находящимися в муниципальной собственности МО «Черноярский район»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outlineLvl w:val="3"/>
        <w:rPr>
          <w:rFonts w:ascii="Arial" w:eastAsia="Times New Roman" w:hAnsi="Arial" w:cs="Times New Roman"/>
          <w:b/>
          <w:bCs/>
          <w:sz w:val="26"/>
          <w:szCs w:val="28"/>
          <w:lang w:eastAsia="ru-RU"/>
        </w:rPr>
      </w:pPr>
      <w:r w:rsidRPr="00B67D1A">
        <w:rPr>
          <w:rFonts w:ascii="Arial" w:eastAsia="Times New Roman" w:hAnsi="Arial" w:cs="Times New Roman"/>
          <w:b/>
          <w:bCs/>
          <w:sz w:val="26"/>
          <w:szCs w:val="28"/>
          <w:lang w:eastAsia="ru-RU"/>
        </w:rPr>
        <w:t>1. Основные положения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 xml:space="preserve">1.1. Настоящая Методика устанавливает общий порядок определения величины годовой арендной платы за пользование объектами недвижимости, </w:t>
      </w: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lastRenderedPageBreak/>
        <w:t>находящимися в муниципальной собственности МО «Черноярский район», при сдаче их в аренду (далее – объекты недвижимости).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1.2. Размер арендной платы определяется в соответствии с расчетом, установленном пунктами 2.1.-2.3. настоящей Методики.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1.3. Оплата коммунальных, эксплуатационных, других необходимых административно-хозяйственных услуг, а также затрат по компенсации амортизационных отчислений пропорционально занимаемой площади в размер арендной платы не включается и обеспечивается арендатором на основании соответствующих договоров на оказание услуг самостоятельно.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outlineLvl w:val="3"/>
        <w:rPr>
          <w:rFonts w:ascii="Arial" w:eastAsia="Times New Roman" w:hAnsi="Arial" w:cs="Times New Roman"/>
          <w:b/>
          <w:bCs/>
          <w:sz w:val="26"/>
          <w:szCs w:val="28"/>
          <w:lang w:eastAsia="ru-RU"/>
        </w:rPr>
      </w:pPr>
      <w:r w:rsidRPr="00B67D1A">
        <w:rPr>
          <w:rFonts w:ascii="Arial" w:eastAsia="Times New Roman" w:hAnsi="Arial" w:cs="Times New Roman"/>
          <w:b/>
          <w:bCs/>
          <w:sz w:val="26"/>
          <w:szCs w:val="28"/>
          <w:lang w:eastAsia="ru-RU"/>
        </w:rPr>
        <w:t>2. Расчет величины годовой арендной платы за пользование объектами недвижимости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2.1. Определение величины годовой арендной платы за пользование объектами недвижимости.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Величина годовой арендной платы за пользование объектами недвижимости рассчитывается по формуле: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Апл (год) = S * Сб * Пс * Кп * Кт * Кф * Кз * Кс * Кк * Ку* Кэт,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где: S – площадь арендуемого объекта недвижимости, кв.м.;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Сб – базовая величина стоимости строительства 1 кв.м. помещения, руб., которая устанавливается на очередной бюджетный год постановлением Губернатора Астраханской области в зависимости от средней величины стоимости строительства 1 кв.м. помещения, сложившейся в Астраханской области в III квартале предыдущего года- 25470 руб.;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 xml:space="preserve">(абзац в редакции решения Совета муниципального образования «Черноярский район» </w:t>
      </w:r>
      <w:hyperlink r:id="rId5" w:tgtFrame="_self" w:tooltip="Новый документ" w:history="1">
        <w:r w:rsidRPr="00B67D1A">
          <w:rPr>
            <w:rFonts w:ascii="Arial" w:eastAsia="Times New Roman" w:hAnsi="Arial" w:cs="Times New Roman"/>
            <w:color w:val="0000FF"/>
            <w:sz w:val="24"/>
            <w:szCs w:val="24"/>
            <w:lang w:eastAsia="ru-RU"/>
          </w:rPr>
          <w:t>от 09.02.2010 № 3</w:t>
        </w:r>
      </w:hyperlink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.)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Пс – процентная ставка рефинансирования, действующая на дату заключения договора аренды по данным Центрального банка РФ, действующего на дату заключения договоров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 xml:space="preserve">(абзац в редакции решения Совета муниципального образования «Черноярский район» </w:t>
      </w:r>
      <w:hyperlink r:id="rId6" w:tgtFrame="_self" w:tooltip="Новый документ" w:history="1">
        <w:r w:rsidRPr="00B67D1A">
          <w:rPr>
            <w:rFonts w:ascii="Arial" w:eastAsia="Times New Roman" w:hAnsi="Arial" w:cs="Times New Roman"/>
            <w:color w:val="0000FF"/>
            <w:sz w:val="24"/>
            <w:szCs w:val="24"/>
            <w:lang w:eastAsia="ru-RU"/>
          </w:rPr>
          <w:t>от 09.02.2010 № 3</w:t>
        </w:r>
      </w:hyperlink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.)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Кп – коэффициент пригодности объекта (приложение 1);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Кт - коэффициент типа здания (приложение 2).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Данный коэффициент устанавливается в зависимости от вида основных конструктивных элементов несущих ограждающих конструкций объекта недвижимости;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Кф - коэффициент функционального назначения здания (приложение 3);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Кз - коэффициент территориальной зоны (приложение № 4)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Кс – коэффициент социальной значимости.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Договоры аренды объектов нежилого фонда, расчет арендной платы по которым произведен с применением коэффициента социальной значимости менее единицы, предусматривающие использование объектов нежилого фонда для осуществления социально значимых видов деятельности, считаются договорами с льготой по арендной плате (приложение 5);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Кто - коэффициент технического обустройства объекта (приложение 6);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Ку – коэффициент, учитывающий удобство использования (приложение 7);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Кэт – коэффициент этажности (приложение 8).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 xml:space="preserve">Сумма ежемесячных арендных платежей определяется как одна двенадцатая годовой величины арендной платы. Налог на добавленную стоимость перечисляется арендатором самостоятельно в федеральный бюджет в установленном законодательством Российской Федерации порядке. Капитальный ремонт объекта производится по прямому указанию комитета имущественных </w:t>
      </w: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lastRenderedPageBreak/>
        <w:t>отношений Черноярского района на необходимость его проведения при сдаче имущества в аренду, а также по инициативе балансодержателя объекта или арендатора за счет их собственных средств (при обязательном согласовании с комитетом имущественных отношений Черноярского района).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Возмещение затрат арендатора на проведение капитального ремонта объекта производится в соответствии с действующим законодательством РФ (ст. 616 ГК РФ).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Зачет затрат арендатора производится в пределах срока действия договора аренды, не превышающего 24 месяца, при одновременном обязательном перечислении арендатором на расчетный счет районного бюджета платежей в размере 30 % от арендной платы, установленной договором.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Срок по зачету затрат арендатора за проведенный капитальный ремонт продлевается на 1 год при условии, если сумма зачтенных средств за предыдущие два года составила 50 % от общей стоимости ремонтных работ, представленных к зачету. Перечисление платежей за данный период осуществляется арендатором в размере 50 % от арендной платы, установленной договором аренды.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2.2. Особенности определения величины годовой арендной платы за пользование некоторыми видами объектов недвижимости.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2.2.1 Исходя из экономической целесообразности при передаче объектов недвижимости в аренду (в том числе открытых плиточных и асфальтных площадок, ограждений) применяется арендная плата, определенная независимым оценщиком. При этом оплата услуг по оценке производится за счет арендатора.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Годовая величина арендной платы за пользование объектами недвижимости определяется по формуле: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Ап(год.) = S * Рс,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где: Рс – рыночная стоимость 1 кв.м. аренды, руб. При сроке аренды более одного года (продлении срока договора аренды) пересмотр величины арендной платы осуществляется: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а) в связи с изменением уровня инфляции – не чаще одного раза в календарный год, при этом учет уровня инфляции производится путем умножения годовой величины арендной платы на индекс инфляции, определяемый на основании закона Астраханской области об областном бюджете на соответствующий год;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б) в связи с проведением новой оценки рыночной ставки арендной платы (не реже одного раза в пять лет).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2.2.2 При передаче в аренду машин, оборудования, объектов газоснабжения расчет величины арендной платы производится по формуле: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Ап(год.) =Рс * На * Кр,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где: Рс – рыночная стоимость машины, оборудования, объекта газоснабжения (или его части), переданного в аренду. При этом оплата услуг по независимой оценке производится за счет арендатора;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На – норма амортизации, принимаемая в соответствии с Едиными нормами амортизационных отчислений на полное восстановление основных фондов народного хозяйства СССР, утвержденными Постановлением Совета Министров СССР от 22.10.90 № 1072;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Кр – коэффициент рентабельности необходимых активов по данным территориального органа Федеральной службы государственной статистики по Астраханской области за предыдущий год.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2.2.3 Годовая величина платежа за право размещения рекламы на фасадной части, кровле и сооружениях объектов недвижимости рассчитывается по формуле: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lastRenderedPageBreak/>
        <w:t>ПР(год.) = S * Сб * Пс * Кт * Кр * Кз * Ку,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где: ПР(год.) – годовая величина платежа за право размещения рекламы, руб.;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 xml:space="preserve"> – площадь арендуемой части фасада здания (в случае размещения рекламы на кровле здания –площадь рекламного щита), ограждения, кв.м.;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Кнр – коэффициент назначения рекламы (приложение 9)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2.2.4 При сезонном характере деятельности арендатора годовая величина платы определяется по формуле: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АП(год.сез.) = АП(год.) * (Чм / 12),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где: АП (год.сез.) –величина годовой арендной платы с учетом сезонного характера работ;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Чм – количество месяцев фактической аренды.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2.2.5. Уровень арендной платы почасового пользования помещений (кабинеты, аудитории, медицинские кабинеты, актовые залы и пр.) определяется по формуле: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АП(час) =АП(год) * Чфа / Чрм,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где: Чфа – количество часов фактической аренды в месяц (на основании справки балансодержателя здания, помещения);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Чрм – количество рабочих часов месяца (на основании производственного календаря на текущий год).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Приложение 1</w:t>
      </w: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 Методике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Коэффициент пригодности –Кп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80"/>
        <w:gridCol w:w="2130"/>
        <w:gridCol w:w="2196"/>
        <w:gridCol w:w="2664"/>
      </w:tblGrid>
      <w:tr w:rsidR="00B67D1A" w:rsidRPr="00B67D1A" w:rsidTr="00B67D1A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Состояние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Офисы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Торговля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Производственно-складские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помещения</w:t>
            </w:r>
          </w:p>
        </w:tc>
      </w:tr>
      <w:tr w:rsidR="00B67D1A" w:rsidRPr="00B67D1A" w:rsidTr="00B67D1A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Упрощенный «евростандарт»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1,06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1,31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1,0</w:t>
            </w:r>
          </w:p>
        </w:tc>
      </w:tr>
      <w:tr w:rsidR="00B67D1A" w:rsidRPr="00B67D1A" w:rsidTr="00B67D1A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Отличное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1,0</w:t>
            </w:r>
          </w:p>
        </w:tc>
      </w:tr>
      <w:tr w:rsidR="00B67D1A" w:rsidRPr="00B67D1A" w:rsidTr="00B67D1A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Нормальное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0,89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1,0</w:t>
            </w:r>
          </w:p>
        </w:tc>
      </w:tr>
      <w:tr w:rsidR="00B67D1A" w:rsidRPr="00B67D1A" w:rsidTr="00B67D1A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Удовлетворительное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0,79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0,83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0,8</w:t>
            </w:r>
          </w:p>
        </w:tc>
      </w:tr>
      <w:tr w:rsidR="00B67D1A" w:rsidRPr="00B67D1A" w:rsidTr="00B67D1A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Неудовлетворительное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0,5</w:t>
            </w:r>
          </w:p>
        </w:tc>
      </w:tr>
      <w:tr w:rsidR="00B67D1A" w:rsidRPr="00B67D1A" w:rsidTr="00B67D1A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Непригодное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0,2</w:t>
            </w:r>
          </w:p>
        </w:tc>
      </w:tr>
    </w:tbl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 xml:space="preserve">Примечания: 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1. Упрощенный «евростандарт» - помещение пригодно к использованию по функциональному назначению, не имеет дефектов, после ремонта по отечественной технологии с комплексным использованием высококачественных отделочных материалов, оснащено типовым электротехническим, санитарно-техническим, пожарно-техническим и охранным оборудованием, находящимся в работоспособном состоянии.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2. Отличное – помещение пригодно к использованию по функциональному назначению, не имеет дефектов, не более одного года после ремонта по отечественной технологии с использованием отечественных отделочных материалов.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 xml:space="preserve">3. Нормальное – помещение пригодно к использованию по функциональному назначению без проведения ремонта, имеет незначительные дефекты отделки </w:t>
      </w: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lastRenderedPageBreak/>
        <w:t>(волосные трещины и сколы штукатурки, единичные повреждения окрасочного слоя, царапины, отдельные мелкие повреждения покрытий стен и полов).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4. Удовлетворительное – помещение пригодно к использованию по функциональному назначению, имеет дефекты, устранимые с помощью косметического ремонта (мелкие трещины в конструкциях, местные нарушения штукатурного слоя цоколя и стен; трещины в местах сопряжения перегородок с плитами перекрытия и заполнениями дверных проемов; отслоение штукатурки; трещины в швах между плитами перекрытий; следы протечек и ржавые пятна на площади до 20 % поверхности потолка и стен; окрасочный слой растрескался, потемнел и загрязнился, имеет отслоения и вздутия; трещины, загрязнения и обрывы покрытий стен в углах, местах установки электрических приборов и у дверных проемов; значительные повреждения покрытий полов).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5. Неудовлетворительное – помещение в текущем состоянии не пригодно к использованию по функциональному назначению, имеет дефекты, устранимые только с помощью значительного ремонта (не включающего восстановление элементов несущих конструкций): отдельные трещины в цоколе и капитальных стенах; поперечные трещины в плитах перекрытий; отпадение штукатурки; увлажнение поверхности стен, следы постоянных протечек на площади более 20 % потолка и стен, промерзание и продувание через стыки панелей; материал пола истерт, пробит, порван, основание пола просело; требуется ремонт заполнений оконных и дверных проемов с их частичной заменой. Требуется восстановление отделки.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6. Не пригодное для использования – помещение не пригодно к использованию по функциональному назначению, необходимо принятие неотложных мер для его капитального ремонта: нарушена гидроизоляция; постоянные протечки через междуэтажные перекрытия; требуется замена дверных (оконных) проемов и полов, а также замена инженерных сетей. Требуется полное восстановление отделки и ремонт элементов несущих конструкций.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7. В случае сдачи в сдачи в аренду объектов недвижимости в аварийном (непригодном) состоянии коэффициент пригодности объекта, равный 0,2, применяется на период проведения ремонтных работ с учетом работ по подготовке проектно-сметной документации. Период проведения ремонтных работ по восстановлению объектов недвижимости устанавливается в соответствии с действующими строительными нормами.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Приложение 2</w:t>
      </w: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 Методике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Коэффициент типа здания, сооружения (Кт)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5"/>
        <w:gridCol w:w="4785"/>
      </w:tblGrid>
      <w:tr w:rsidR="00B67D1A" w:rsidRPr="00B67D1A" w:rsidTr="00B67D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Тип здания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</w:tc>
      </w:tr>
      <w:tr w:rsidR="00B67D1A" w:rsidRPr="00B67D1A" w:rsidTr="00B67D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Капитальное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1,0</w:t>
            </w:r>
          </w:p>
        </w:tc>
      </w:tr>
      <w:tr w:rsidR="00B67D1A" w:rsidRPr="00B67D1A" w:rsidTr="00B67D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Ангар (1)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0,5</w:t>
            </w:r>
          </w:p>
        </w:tc>
      </w:tr>
      <w:tr w:rsidR="00B67D1A" w:rsidRPr="00B67D1A" w:rsidTr="00B67D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Павильон (2)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0,87</w:t>
            </w:r>
          </w:p>
        </w:tc>
      </w:tr>
      <w:tr w:rsidR="00B67D1A" w:rsidRPr="00B67D1A" w:rsidTr="00B67D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Деревянное (3)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0,80</w:t>
            </w:r>
          </w:p>
        </w:tc>
      </w:tr>
      <w:tr w:rsidR="00B67D1A" w:rsidRPr="00B67D1A" w:rsidTr="00B67D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Сооружение (ограждение, банер)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0,5</w:t>
            </w:r>
          </w:p>
        </w:tc>
      </w:tr>
    </w:tbl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Примечания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1)Сооружения с металлическим каркасом, металлическими стенами, заглубленным фундаментом и высотой более 4 метров.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lastRenderedPageBreak/>
        <w:t>2) Легкие тонкостенные сооружения с металлическим или деревянным каркасом, незаглубленным фундаментом и высотой не более 4 метров.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3) Здания, имеющие бревенчатые стены или деревянные каркасные стены с засыпкой.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Приложение 3</w:t>
      </w: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 Методике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Коэффициент функционального назначения здания (Кф)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0"/>
        <w:gridCol w:w="3650"/>
      </w:tblGrid>
      <w:tr w:rsidR="00B67D1A" w:rsidRPr="00B67D1A" w:rsidTr="00B67D1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Функция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</w:tc>
      </w:tr>
      <w:tr w:rsidR="00B67D1A" w:rsidRPr="00B67D1A" w:rsidTr="00B67D1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Офисная (служебное помещение)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1,6</w:t>
            </w:r>
          </w:p>
        </w:tc>
      </w:tr>
      <w:tr w:rsidR="00B67D1A" w:rsidRPr="00B67D1A" w:rsidTr="00B67D1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Торговая 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1,7</w:t>
            </w:r>
          </w:p>
        </w:tc>
      </w:tr>
      <w:tr w:rsidR="00B67D1A" w:rsidRPr="00B67D1A" w:rsidTr="00B67D1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Производственно-складская (отапливаемое здание)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0,9</w:t>
            </w:r>
          </w:p>
        </w:tc>
      </w:tr>
      <w:tr w:rsidR="00B67D1A" w:rsidRPr="00B67D1A" w:rsidTr="00B67D1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Производственно-складская (неотапливаемое здание)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0,5</w:t>
            </w:r>
          </w:p>
        </w:tc>
      </w:tr>
    </w:tbl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Приложение 4</w:t>
      </w: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 Методике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Коэффициент территориальной зоны (Ктз)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0"/>
        <w:gridCol w:w="3686"/>
      </w:tblGrid>
      <w:tr w:rsidR="00B67D1A" w:rsidRPr="00B67D1A" w:rsidTr="00B67D1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Наименование населенного пункта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Ктз</w:t>
            </w:r>
          </w:p>
        </w:tc>
      </w:tr>
      <w:tr w:rsidR="00B67D1A" w:rsidRPr="00B67D1A" w:rsidTr="00B67D1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Сельские населенные пункты области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</w:t>
            </w:r>
          </w:p>
        </w:tc>
      </w:tr>
    </w:tbl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Приложение 5</w:t>
      </w: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 Методике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Коэффициент социальной значимости Кс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6838"/>
        <w:gridCol w:w="2203"/>
      </w:tblGrid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№ п/п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Граждане, организации и виды основной деятельности арендаторов помещений (зданий)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Коэффициент социальной значимости</w:t>
            </w:r>
          </w:p>
        </w:tc>
      </w:tr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Общественные объединения инвалидов, их структурные подразделения (организации, отделения), являющиеся юридическими лицами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Религиозные объединения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Благотворительные организации (общественные организации, фонды, учреждения, созданные для осуществления благотворительной деятельности)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0,2</w:t>
            </w:r>
          </w:p>
        </w:tc>
      </w:tr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2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(*)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Инвалиды, зарегистрированные в качестве индивидуальных предпринимателей, осуществляющие предоставление предусмотренных в прилагаемом перечне бытовых услуг в соответствии с ОК 022-93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0,5</w:t>
            </w:r>
          </w:p>
        </w:tc>
      </w:tr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3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Некоммерческие организации (в соответствии с учредительными документами) для достижения образовательных, научных, культурных целей, участия в обеспечении охраны общественного порядка, в целях охраны здоровья граждан, социальной защиты населения, оказания помощи инвалидам, развития физической культуры и спорта, </w:t>
            </w:r>
            <w:r w:rsidRPr="00B67D1A">
              <w:rPr>
                <w:rFonts w:ascii="Courier" w:hAnsi="Courier"/>
              </w:rPr>
              <w:lastRenderedPageBreak/>
              <w:t>воспитания детей и молодежи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lastRenderedPageBreak/>
              <w:t>0,3</w:t>
            </w:r>
          </w:p>
        </w:tc>
      </w:tr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lastRenderedPageBreak/>
              <w:t>4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Коммерческие организации, учредителями и участниками которых являются исключительно инвалиды, среднесписочная численность работающих инвалидов в которых составляет не менее 50 %, при условии, что в среднегодовом фонде оплаты труда указанных выше коммерческих организаций выплаты инвалидам составляют более 50 % 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0,45</w:t>
            </w:r>
          </w:p>
        </w:tc>
      </w:tr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5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Организации (а также индивидуальные предприниматели), специализирующиеся на организации питания детей школьного, дошкольного возраста и учащихся средних учебных заведений, студентов высших учебных заведений и лечебных учреждений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0,5</w:t>
            </w:r>
          </w:p>
        </w:tc>
      </w:tr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6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Организации (а также индивидуальные предприниматели), осуществляющие розничную торговлю фармацевтическими товарами и обладающие лицензиями на осуществление данного вида деятельности, при наличии в своей структуре рецептурно-производственных отделов или исполняющие государственный контракт на лекарственное обеспечение льготных категорий населения Астраханской области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0,65</w:t>
            </w:r>
          </w:p>
        </w:tc>
      </w:tr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7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Коммерческие организации (а также индивидуальные предприниматели), осуществляющие предоставление услуг в области культуры (в соответствии с ОК 02-93; 050000-053409, кроме кода 052313)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0,6</w:t>
            </w:r>
          </w:p>
        </w:tc>
      </w:tr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8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Организации (а также индивидуальные предприниматели), осуществляющие предоставление услуг в системе образования (в соответствии с ОК 002-93; 110000-115300), медицинских (в соответствии с ОК 002-93; 081200-081304) и ветеринарных услуг (в соответствии с ОК 002-93; 0830000-083109)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0,35</w:t>
            </w:r>
          </w:p>
        </w:tc>
      </w:tr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9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Редакции средств массовой информации, осуществляющие официальное опубликование законов Астраханской области, нормативных правовых актов Губернатора и Правительства Астраханской области, иных исполнительных органов государственной власти Астраханской области, органов местного самоуправления и выпускающие печатные издания, связанные с образованием, наукой, культурой, социальной и общественно-политической тематикой, детско-юношеской тематикой развивающего и воспитательного характера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0,67</w:t>
            </w:r>
          </w:p>
        </w:tc>
      </w:tr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10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Организации, а также индивидуальные предприниматели без образования юридического лица, осуществляющие предоставление бытовых услуг (в соответствии с ОК 002-93; группа 01)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0,9</w:t>
            </w:r>
          </w:p>
        </w:tc>
      </w:tr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11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Производители сельхозпродукции, осуществляющие розничную торговлю сельскохозяйственной продукцией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0,85</w:t>
            </w:r>
          </w:p>
        </w:tc>
      </w:tr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12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Коммерческие организации (а также индивидуальные предприниматели), осуществляющие деятельность в </w:t>
            </w:r>
            <w:r w:rsidRPr="00B67D1A">
              <w:rPr>
                <w:rFonts w:ascii="Courier" w:hAnsi="Courier"/>
              </w:rPr>
              <w:lastRenderedPageBreak/>
              <w:t xml:space="preserve">рамках реализации программы по развитию бизнес – инкубаторов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lastRenderedPageBreak/>
              <w:t>0,5</w:t>
            </w:r>
          </w:p>
        </w:tc>
      </w:tr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lastRenderedPageBreak/>
              <w:t>13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Федеральные территориальные органы исполнительной власти, финансируемые из федерального бюджета. Государственные внебюджетные фонды, Областные государственные предприятия и областные государственные учреждения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0,8</w:t>
            </w:r>
          </w:p>
        </w:tc>
      </w:tr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14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Органы местного самоуправления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0,4</w:t>
            </w:r>
          </w:p>
        </w:tc>
      </w:tr>
      <w:tr w:rsidR="00B67D1A" w:rsidRPr="00B67D1A" w:rsidTr="00B67D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15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Прочие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</w:t>
            </w:r>
          </w:p>
        </w:tc>
      </w:tr>
    </w:tbl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(*) Коэффициент социальной значимости применяется из расчета – не более 9 кв.м. общей площади на 1 человека;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-ремонт, окраска и пошив обуви (011000-111410);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-ремонт и пошив швейных, меховых и кожаных изделий, головных уборов и изделий текстильной галантереи, ремонт, пошив и вязание трикотажных изделий (012000-0112605);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- ремонт и техническое обслуживание бытовой радиоэлектронной аппаратуры, бытовых машин и бытовых приборов;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- ремонт и изготовление металлоизделий (013000-013451, за исключением 013439, 013442-013444, 013446-013449);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-химическая чистка и крашение, услуги прачечных (015000-015421);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-услуги фотоателье, фото- и кинолабораторий (018000-018125);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-услуги бань и душевых, парикмахерских. Услуги предприятий по прокату (019000-019517);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-хранение автотранспортных средств на платных стоянках (017608);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-переплетные мастерские (018329).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Приложение 6</w:t>
      </w: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 Методике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Определение коэффициента технического обустройства (Кто)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Коэффициент технического обустройства определяется по следующей формуле: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Кто = Кэл * Квд * Кот * Ккн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При наличии элемента благоустройства соответствующий коэффициент принимается равным 1.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842"/>
        <w:gridCol w:w="1701"/>
        <w:gridCol w:w="1524"/>
      </w:tblGrid>
      <w:tr w:rsidR="00B67D1A" w:rsidRPr="00B67D1A" w:rsidTr="00B67D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Элемент благоустройства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Офисы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Торговля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Склады</w:t>
            </w:r>
          </w:p>
        </w:tc>
      </w:tr>
      <w:tr w:rsidR="00B67D1A" w:rsidRPr="00B67D1A" w:rsidTr="00B67D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Отсутствие электроснабжения Кэл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0,7</w:t>
            </w:r>
          </w:p>
        </w:tc>
      </w:tr>
      <w:tr w:rsidR="00B67D1A" w:rsidRPr="00B67D1A" w:rsidTr="00B67D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Отсутствие водоснабжения Квд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0,9</w:t>
            </w:r>
          </w:p>
        </w:tc>
      </w:tr>
      <w:tr w:rsidR="00B67D1A" w:rsidRPr="00B67D1A" w:rsidTr="00B67D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Отсутствие отопления Кот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0,5</w:t>
            </w:r>
          </w:p>
        </w:tc>
      </w:tr>
      <w:tr w:rsidR="00B67D1A" w:rsidRPr="00B67D1A" w:rsidTr="00B67D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Отсутствие канализации Ккн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0,9</w:t>
            </w:r>
          </w:p>
        </w:tc>
      </w:tr>
    </w:tbl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Приложение 7</w:t>
      </w: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 Методике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Ку – коэффициент, учитывающий удобство использования: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3"/>
        <w:gridCol w:w="957"/>
      </w:tblGrid>
      <w:tr w:rsidR="00B67D1A" w:rsidRPr="00B67D1A" w:rsidTr="00B67D1A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Зона 1, границы расположения объектов недвижимости: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с.Черный Яр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пл.Ленина, ул.Победы (от пл.Ленина до пересечения с ул.К.Савельева), ул.М.Жукова (от р.Волга до пересечения с </w:t>
            </w:r>
            <w:r w:rsidRPr="00B67D1A">
              <w:rPr>
                <w:rFonts w:ascii="Courier" w:hAnsi="Courier"/>
              </w:rPr>
              <w:lastRenderedPageBreak/>
              <w:t>ул.Партизанской), ул.Гагарина (от ул.М.Жукова до здания школы), ул.Кирова (от пл.Ленина до здания Администрации района), ул.Советская (от начала до пересечения с ул.М.Жукова), ул.1го Мая (от пл.Ленина до здания прокуратуры), ул.Нестеровского (от ул.Победы до пересечения ул.М.Жукова)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с.Соленое Займище – ул.Революционная;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с.Старица – пл.Мира, ул.Победы;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с.Вязовка – ул.Советская;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с.Каменный Яр – ул.Советская;</w:t>
            </w:r>
            <w:r w:rsidRPr="00B67D1A">
              <w:rPr>
                <w:rFonts w:ascii="Courier" w:hAnsi="Courier"/>
              </w:rPr>
              <w:tab/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с.Ушаковка – пл.Ленина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lastRenderedPageBreak/>
              <w:t>0,3</w:t>
            </w:r>
          </w:p>
        </w:tc>
      </w:tr>
      <w:tr w:rsidR="00B67D1A" w:rsidRPr="00B67D1A" w:rsidTr="00B67D1A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lastRenderedPageBreak/>
              <w:t>Зона 2, границы расположения объектов недвижимости: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с.Черный Яр – м/р Южный, м/р 70 лет ВЛКСМ, ул.Гагарина (от школы до конца улицы), ул.К.Савельева (от начала до пересечения с ул.Некрасова), ул.Калинина (от ул.9 Января до ул.Победы), ул.М.Жукова (от ул.Партизанская до конца), территория ЦРБ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с.Соленое Займище – ул.Попова, ул.Советская, ул.Козлова;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с.Зубовка – ул.Совхозная;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с.Старица – ул.Конева;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с.Ступино – ул.Заречная;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с.Вязовка – ул.Крупской;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с.Солодники – ул.Бочарова;</w:t>
            </w:r>
          </w:p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с.Ушаковка – ул.Ленинская, ул.Строительная, ул.Почтовая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0,2</w:t>
            </w:r>
          </w:p>
        </w:tc>
      </w:tr>
    </w:tbl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Приложение 8</w:t>
      </w: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 Методике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Коэффициент этажности – Кэт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268"/>
        <w:gridCol w:w="1521"/>
        <w:gridCol w:w="2164"/>
        <w:gridCol w:w="1382"/>
      </w:tblGrid>
      <w:tr w:rsidR="00B67D1A" w:rsidRPr="00B67D1A" w:rsidTr="00B67D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Занимаемые этажи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Офисы (служебные помещения)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Торговые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Производственные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Складские</w:t>
            </w:r>
          </w:p>
        </w:tc>
      </w:tr>
      <w:tr w:rsidR="00B67D1A" w:rsidRPr="00B67D1A" w:rsidTr="00B67D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1,2-й этажи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1,0</w:t>
            </w:r>
          </w:p>
        </w:tc>
      </w:tr>
      <w:tr w:rsidR="00B67D1A" w:rsidRPr="00B67D1A" w:rsidTr="00B67D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3-й этаж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0,9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0,87</w:t>
            </w:r>
          </w:p>
        </w:tc>
      </w:tr>
      <w:tr w:rsidR="00B67D1A" w:rsidRPr="00B67D1A" w:rsidTr="00B67D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Подвал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-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0,75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0,96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1,0</w:t>
            </w:r>
          </w:p>
        </w:tc>
      </w:tr>
      <w:tr w:rsidR="00B67D1A" w:rsidRPr="00B67D1A" w:rsidTr="00B67D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Цоколь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0,91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0,84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0,96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1,0</w:t>
            </w:r>
          </w:p>
        </w:tc>
      </w:tr>
      <w:tr w:rsidR="00B67D1A" w:rsidRPr="00B67D1A" w:rsidTr="00B67D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Технический этаж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-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-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0,94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0,94</w:t>
            </w:r>
          </w:p>
        </w:tc>
      </w:tr>
    </w:tbl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Приложение 9</w:t>
      </w:r>
    </w:p>
    <w:p w:rsidR="00B67D1A" w:rsidRPr="00B67D1A" w:rsidRDefault="00B67D1A" w:rsidP="00B67D1A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 Методике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67D1A" w:rsidRPr="00B67D1A" w:rsidRDefault="00B67D1A" w:rsidP="00B67D1A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67D1A">
        <w:rPr>
          <w:rFonts w:ascii="Arial" w:eastAsia="Times New Roman" w:hAnsi="Arial" w:cs="Times New Roman"/>
          <w:sz w:val="24"/>
          <w:szCs w:val="24"/>
          <w:lang w:eastAsia="ru-RU"/>
        </w:rPr>
        <w:t>Коэффициент назначения рекламы – Кнр</w:t>
      </w:r>
    </w:p>
    <w:p w:rsidR="00B67D1A" w:rsidRPr="00B67D1A" w:rsidRDefault="00B67D1A" w:rsidP="00B67D1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46"/>
        <w:gridCol w:w="1524"/>
      </w:tblGrid>
      <w:tr w:rsidR="00B67D1A" w:rsidRPr="00B67D1A" w:rsidTr="00B67D1A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Назначение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</w:p>
        </w:tc>
      </w:tr>
      <w:tr w:rsidR="00B67D1A" w:rsidRPr="00B67D1A" w:rsidTr="00B67D1A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Отдых, туризм, ресторанный и игорный бизнес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1,5</w:t>
            </w:r>
          </w:p>
        </w:tc>
      </w:tr>
      <w:tr w:rsidR="00B67D1A" w:rsidRPr="00B67D1A" w:rsidTr="00B67D1A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Торговля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1,2</w:t>
            </w:r>
          </w:p>
        </w:tc>
      </w:tr>
      <w:tr w:rsidR="00B67D1A" w:rsidRPr="00B67D1A" w:rsidTr="00B67D1A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Операции с недвижимым имуществом, страхование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1,1</w:t>
            </w:r>
          </w:p>
        </w:tc>
      </w:tr>
      <w:tr w:rsidR="00B67D1A" w:rsidRPr="00B67D1A" w:rsidTr="00B67D1A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Информационно-вычислительное обслуживание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0,9</w:t>
            </w:r>
          </w:p>
        </w:tc>
      </w:tr>
      <w:tr w:rsidR="00B67D1A" w:rsidRPr="00B67D1A" w:rsidTr="00B67D1A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Оказание услуг населению, в том числе: бытовые услуги, изготовление товаров народного потребления, транспортные услуги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0,5</w:t>
            </w:r>
          </w:p>
        </w:tc>
      </w:tr>
      <w:tr w:rsidR="00B67D1A" w:rsidRPr="00B67D1A" w:rsidTr="00B67D1A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Обучение, здравоохранение, спорт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0,4</w:t>
            </w:r>
          </w:p>
        </w:tc>
      </w:tr>
      <w:tr w:rsidR="00B67D1A" w:rsidRPr="00B67D1A" w:rsidTr="00B67D1A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Политико-просветительское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0,3</w:t>
            </w:r>
          </w:p>
        </w:tc>
      </w:tr>
      <w:tr w:rsidR="00B67D1A" w:rsidRPr="00B67D1A" w:rsidTr="00B67D1A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 xml:space="preserve">Прочие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A" w:rsidRPr="00B67D1A" w:rsidRDefault="00B67D1A" w:rsidP="00B67D1A">
            <w:pPr>
              <w:spacing w:after="0" w:line="240" w:lineRule="auto"/>
              <w:jc w:val="both"/>
              <w:rPr>
                <w:rFonts w:ascii="Courier" w:hAnsi="Courier"/>
              </w:rPr>
            </w:pPr>
            <w:r w:rsidRPr="00B67D1A">
              <w:rPr>
                <w:rFonts w:ascii="Courier" w:hAnsi="Courier"/>
              </w:rPr>
              <w:t>1</w:t>
            </w:r>
          </w:p>
        </w:tc>
      </w:tr>
    </w:tbl>
    <w:p w:rsidR="00B67D1A" w:rsidRPr="00B67D1A" w:rsidRDefault="00B67D1A" w:rsidP="00B67D1A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A04210" w:rsidRDefault="00A04210"/>
    <w:sectPr w:rsidR="00A04210" w:rsidSect="00A04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B67D1A"/>
    <w:rsid w:val="00A04210"/>
    <w:rsid w:val="00B67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210"/>
  </w:style>
  <w:style w:type="paragraph" w:styleId="2">
    <w:name w:val="heading 2"/>
    <w:aliases w:val="!Разделы документа"/>
    <w:basedOn w:val="a"/>
    <w:link w:val="20"/>
    <w:uiPriority w:val="9"/>
    <w:qFormat/>
    <w:rsid w:val="00B67D1A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B67D1A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B67D1A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B67D1A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B67D1A"/>
    <w:rPr>
      <w:strike w:val="0"/>
      <w:dstrike w:val="0"/>
      <w:color w:val="0000FF"/>
      <w:u w:val="none"/>
      <w:effect w:val="none"/>
    </w:rPr>
  </w:style>
  <w:style w:type="character" w:customStyle="1" w:styleId="a4">
    <w:name w:val="Текст примечания Знак"/>
    <w:aliases w:val="!Равноширинный текст документа Знак1"/>
    <w:basedOn w:val="a0"/>
    <w:link w:val="a5"/>
    <w:locked/>
    <w:rsid w:val="00B67D1A"/>
    <w:rPr>
      <w:rFonts w:ascii="Courier" w:hAnsi="Courier"/>
    </w:rPr>
  </w:style>
  <w:style w:type="paragraph" w:styleId="a5">
    <w:name w:val="annotation text"/>
    <w:aliases w:val="!Равноширинный текст документа"/>
    <w:basedOn w:val="a"/>
    <w:link w:val="a4"/>
    <w:unhideWhenUsed/>
    <w:rsid w:val="00B67D1A"/>
    <w:pPr>
      <w:spacing w:after="0" w:line="240" w:lineRule="auto"/>
      <w:ind w:firstLine="567"/>
      <w:jc w:val="both"/>
    </w:pPr>
    <w:rPr>
      <w:rFonts w:ascii="Courier" w:hAnsi="Courier"/>
    </w:rPr>
  </w:style>
  <w:style w:type="character" w:customStyle="1" w:styleId="1">
    <w:name w:val="Текст примечания Знак1"/>
    <w:basedOn w:val="a0"/>
    <w:link w:val="a5"/>
    <w:uiPriority w:val="99"/>
    <w:semiHidden/>
    <w:rsid w:val="00B67D1A"/>
    <w:rPr>
      <w:sz w:val="20"/>
      <w:szCs w:val="20"/>
    </w:rPr>
  </w:style>
  <w:style w:type="paragraph" w:customStyle="1" w:styleId="Title">
    <w:name w:val="Title!Название НПА"/>
    <w:basedOn w:val="a"/>
    <w:rsid w:val="00B67D1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0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content\act\02a58402-5c73-4a1f-883e-1b9f5a32560f.doc" TargetMode="External"/><Relationship Id="rId5" Type="http://schemas.openxmlformats.org/officeDocument/2006/relationships/hyperlink" Target="file:///C:\content\act\02a58402-5c73-4a1f-883e-1b9f5a32560f.doc" TargetMode="External"/><Relationship Id="rId4" Type="http://schemas.openxmlformats.org/officeDocument/2006/relationships/hyperlink" Target="file:///C:\content\act\02a58402-5c73-4a1f-883e-1b9f5a32560f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2949</Words>
  <Characters>16810</Characters>
  <Application>Microsoft Office Word</Application>
  <DocSecurity>0</DocSecurity>
  <Lines>140</Lines>
  <Paragraphs>39</Paragraphs>
  <ScaleCrop>false</ScaleCrop>
  <Company/>
  <LinksUpToDate>false</LinksUpToDate>
  <CharactersWithSpaces>19720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NGluhovskaya</dc:creator>
  <cp:keywords/>
  <dc:description/>
  <cp:lastModifiedBy>NGluhovskaya</cp:lastModifiedBy>
  <cp:revision>1</cp:revision>
  <dcterms:created xsi:type="dcterms:W3CDTF">2011-04-29T11:00:00Z</dcterms:created>
  <dcterms:modified xsi:type="dcterms:W3CDTF">2011-04-29T11:00:00Z</dcterms:modified>
</cp:coreProperties>
</file>